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60"/>
      </w:pPr>
      <w:r>
        <w:rPr>
          <w:rFonts w:ascii="Calibri" w:hAnsi="Calibri"/>
          <w:b/>
          <w:i w:val="0"/>
          <w:color w:val="B45309"/>
          <w:sz w:val="18"/>
        </w:rPr>
        <w:t>BLANK DEMO TEMPLATE</w:t>
      </w:r>
    </w:p>
    <w:p>
      <w:pPr>
        <w:spacing w:after="80"/>
      </w:pPr>
      <w:r>
        <w:rPr>
          <w:rFonts w:ascii="Calibri" w:hAnsi="Calibri"/>
          <w:b/>
          <w:i w:val="0"/>
          <w:color w:val="112B46"/>
          <w:sz w:val="48"/>
        </w:rPr>
        <w:t>Texas Readiness Intake</w:t>
      </w:r>
    </w:p>
    <w:p>
      <w:pPr>
        <w:spacing w:after="280"/>
      </w:pPr>
      <w:r>
        <w:rPr>
          <w:rFonts w:ascii="Calibri" w:hAnsi="Calibri"/>
          <w:b w:val="0"/>
          <w:i w:val="0"/>
          <w:color w:val="5D6878"/>
          <w:sz w:val="25"/>
        </w:rPr>
        <w:t>Original internal intake template for a preliminary expansion evidence review</w:t>
      </w:r>
    </w:p>
    <w:p>
      <w:pPr>
        <w:spacing w:after="280"/>
        <w:jc w:val="center"/>
      </w:pPr>
      <w:r>
        <w:rPr>
          <w:rFonts w:ascii="Calibri" w:hAnsi="Calibri"/>
          <w:b/>
          <w:i w:val="0"/>
          <w:color w:val="A83A32"/>
          <w:sz w:val="19"/>
        </w:rPr>
        <w:t>NOT A REGULATOR FORM | FICTIONAL COMPANY AND IDENTIFIERS</w:t>
      </w:r>
    </w:p>
    <w:p>
      <w:pPr>
        <w:pStyle w:val="Heading1"/>
      </w:pPr>
      <w:r>
        <w:t>Entity and activity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EF3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/>
                <w:i w:val="0"/>
                <w:color w:val="112B46"/>
                <w:sz w:val="20"/>
              </w:rPr>
              <w:t>Company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 w:val="0"/>
                <w:i w:val="0"/>
                <w:color w:val="172033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shd w:fill="EEF3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/>
                <w:i w:val="0"/>
                <w:color w:val="112B46"/>
                <w:sz w:val="20"/>
              </w:rPr>
              <w:t>Current market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 w:val="0"/>
                <w:i w:val="0"/>
                <w:color w:val="172033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shd w:fill="EEF3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/>
                <w:i w:val="0"/>
                <w:color w:val="112B46"/>
                <w:sz w:val="20"/>
              </w:rPr>
              <w:t>Proposed market / horizon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 w:val="0"/>
                <w:i w:val="0"/>
                <w:color w:val="172033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shd w:fill="EEF3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/>
                <w:i w:val="0"/>
                <w:color w:val="112B46"/>
                <w:sz w:val="20"/>
              </w:rPr>
              <w:t>Proposed activity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 w:val="0"/>
                <w:i w:val="0"/>
                <w:color w:val="172033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shd w:fill="EEF3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/>
                <w:i w:val="0"/>
                <w:color w:val="112B46"/>
                <w:sz w:val="20"/>
              </w:rPr>
              <w:t>Internal tracking id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 w:val="0"/>
                <w:i w:val="0"/>
                <w:color w:val="172033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shd w:fill="EEF3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/>
                <w:i w:val="0"/>
                <w:color w:val="112B46"/>
                <w:sz w:val="20"/>
              </w:rPr>
              <w:t>Qualified human reviewer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 w:val="0"/>
                <w:i w:val="0"/>
                <w:color w:val="172033"/>
                <w:sz w:val="21"/>
              </w:rPr>
              <w:t>____________________________________________</w:t>
            </w:r>
          </w:p>
        </w:tc>
      </w:tr>
    </w:tbl>
    <w:p>
      <w:pPr>
        <w:pStyle w:val="Heading1"/>
      </w:pPr>
      <w:r>
        <w:t>Evidence-readiness checklist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3000"/>
        <w:gridCol w:w="1500"/>
        <w:gridCol w:w="4860"/>
      </w:tblGrid>
      <w:tr>
        <w:tc>
          <w:tcPr>
            <w:tcW w:type="dxa" w:w="3000"/>
            <w:shd w:fill="112B4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Readiness item</w:t>
            </w:r>
          </w:p>
        </w:tc>
        <w:tc>
          <w:tcPr>
            <w:tcW w:type="dxa" w:w="1500"/>
            <w:shd w:fill="112B4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Status</w:t>
            </w:r>
          </w:p>
        </w:tc>
        <w:tc>
          <w:tcPr>
            <w:tcW w:type="dxa" w:w="4860"/>
            <w:shd w:fill="112B4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Evidence / qualification</w:t>
            </w:r>
          </w:p>
        </w:tc>
      </w:tr>
      <w:tr>
        <w:tc>
          <w:tcPr>
            <w:tcW w:type="dxa" w:w="3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 w:val="0"/>
                <w:i w:val="0"/>
                <w:color w:val="172033"/>
                <w:sz w:val="18"/>
              </w:rPr>
              <w:t>Activity and licensing analysis</w:t>
            </w:r>
          </w:p>
        </w:tc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/>
                <w:i w:val="0"/>
                <w:color w:val="B45309"/>
                <w:sz w:val="18"/>
              </w:rPr>
              <w:t>OPEN</w:t>
            </w:r>
          </w:p>
        </w:tc>
        <w:tc>
          <w:tcPr>
            <w:tcW w:type="dxa" w:w="4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 w:val="0"/>
                <w:i w:val="0"/>
                <w:color w:val="172033"/>
                <w:sz w:val="18"/>
              </w:rPr>
              <w:t>Attach counsel-reviewed analysis; do not infer authorization.</w:t>
            </w:r>
          </w:p>
        </w:tc>
      </w:tr>
      <w:tr>
        <w:tc>
          <w:tcPr>
            <w:tcW w:type="dxa" w:w="3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 w:val="0"/>
                <w:i w:val="0"/>
                <w:color w:val="172033"/>
                <w:sz w:val="18"/>
              </w:rPr>
              <w:t>Application-readiness evidence</w:t>
            </w:r>
          </w:p>
        </w:tc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/>
                <w:i w:val="0"/>
                <w:color w:val="B45309"/>
                <w:sz w:val="18"/>
              </w:rPr>
              <w:t>OPEN</w:t>
            </w:r>
          </w:p>
        </w:tc>
        <w:tc>
          <w:tcPr>
            <w:tcW w:type="dxa" w:w="4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 w:val="0"/>
                <w:i w:val="0"/>
                <w:color w:val="172033"/>
                <w:sz w:val="18"/>
              </w:rPr>
              <w:t>Attach current, internally consistent source files.</w:t>
            </w:r>
          </w:p>
        </w:tc>
      </w:tr>
      <w:tr>
        <w:tc>
          <w:tcPr>
            <w:tcW w:type="dxa" w:w="3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 w:val="0"/>
                <w:i w:val="0"/>
                <w:color w:val="172033"/>
                <w:sz w:val="18"/>
              </w:rPr>
              <w:t>Authorization evidence</w:t>
            </w:r>
          </w:p>
        </w:tc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/>
                <w:i w:val="0"/>
                <w:color w:val="B45309"/>
                <w:sz w:val="18"/>
              </w:rPr>
              <w:t>OPEN</w:t>
            </w:r>
          </w:p>
        </w:tc>
        <w:tc>
          <w:tcPr>
            <w:tcW w:type="dxa" w:w="4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 w:val="0"/>
                <w:i w:val="0"/>
                <w:color w:val="172033"/>
                <w:sz w:val="18"/>
              </w:rPr>
              <w:t>A submission receipt is not approval.</w:t>
            </w:r>
          </w:p>
        </w:tc>
      </w:tr>
      <w:tr>
        <w:tc>
          <w:tcPr>
            <w:tcW w:type="dxa" w:w="3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 w:val="0"/>
                <w:i w:val="0"/>
                <w:color w:val="172033"/>
                <w:sz w:val="18"/>
              </w:rPr>
              <w:t>Launch disablement control</w:t>
            </w:r>
          </w:p>
        </w:tc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/>
                <w:i w:val="0"/>
                <w:color w:val="B45309"/>
                <w:sz w:val="18"/>
              </w:rPr>
              <w:t>OPEN</w:t>
            </w:r>
          </w:p>
        </w:tc>
        <w:tc>
          <w:tcPr>
            <w:tcW w:type="dxa" w:w="4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 w:val="0"/>
                <w:i w:val="0"/>
                <w:color w:val="172033"/>
                <w:sz w:val="18"/>
              </w:rPr>
              <w:t>Show the technical and decision gate.</w:t>
            </w:r>
          </w:p>
        </w:tc>
      </w:tr>
      <w:tr>
        <w:tc>
          <w:tcPr>
            <w:tcW w:type="dxa" w:w="3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 w:val="0"/>
                <w:i w:val="0"/>
                <w:color w:val="172033"/>
                <w:sz w:val="18"/>
              </w:rPr>
              <w:t>Independent challenge</w:t>
            </w:r>
          </w:p>
        </w:tc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/>
                <w:i w:val="0"/>
                <w:color w:val="B45309"/>
                <w:sz w:val="18"/>
              </w:rPr>
              <w:t>OPEN</w:t>
            </w:r>
          </w:p>
        </w:tc>
        <w:tc>
          <w:tcPr>
            <w:tcW w:type="dxa" w:w="48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 w:val="0"/>
                <w:i w:val="0"/>
                <w:color w:val="172033"/>
                <w:sz w:val="18"/>
              </w:rPr>
              <w:t>Attach reviewer, date, findings, and disposition.</w:t>
            </w:r>
          </w:p>
        </w:tc>
      </w:tr>
    </w:tbl>
    <w:p>
      <w:pPr>
        <w:pStyle w:val="Heading2"/>
      </w:pPr>
      <w:r>
        <w:t>Preliminary attestation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7E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Calibri" w:hAnsi="Calibri"/>
                <w:b/>
                <w:i w:val="0"/>
                <w:color w:val="B45309"/>
                <w:sz w:val="20"/>
              </w:rPr>
              <w:t>This original ProbaFide working paper is not a regulator form, legal opinion, application, approval, or license. Every legal or regulatory observation is preliminary and requires qualified human legal and compliance review.</w:t>
            </w:r>
          </w:p>
        </w:tc>
      </w:tr>
    </w:tbl>
    <w:p>
      <w:pPr>
        <w:spacing w:before="240"/>
      </w:pPr>
      <w:r>
        <w:rPr>
          <w:rFonts w:ascii="Calibri" w:hAnsi="Calibri"/>
          <w:b w:val="0"/>
          <w:i w:val="0"/>
          <w:color w:val="5D6878"/>
          <w:sz w:val="20"/>
        </w:rPr>
        <w:t>Prepared by: ____________________    Human reviewer: ____________________    Date: 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/>
        <w:i w:val="0"/>
        <w:color w:val="A83A32"/>
        <w:sz w:val="17"/>
      </w:rPr>
      <w:t>DEMO ONLY - NOT FOR SUBMISSION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r>
      <w:rPr>
        <w:rFonts w:ascii="Calibri" w:hAnsi="Calibri"/>
        <w:b/>
        <w:i w:val="0"/>
        <w:color w:val="A83A32"/>
        <w:sz w:val="17"/>
      </w:rPr>
      <w:t>PROBAFIDE DEMO | ORIGINAL INTERNAL WORKING PAPER</w:t>
    </w:r>
  </w:p>
  <w:p>
    <w:r>
      <w:pict>
        <v:shape id="ProbaFidePermanentDemoWatermark" o:spid="_x0000_s2048" type="#_x0000_t136" style="position:absolute;margin-left:0;margin-top:0;width:468pt;height:468pt;rotation:315;z-index:-251654144;mso-position-horizontal:center;mso-position-vertical:center;mso-wrap-edited:f;" fillcolor="#C8CDD3" stroked="f">
          <v:fill opacity="0.18"/>
          <v:textpath style="font-family:&quot;Calibri&quot;;font-size:1pt" string="DEMO ONLY - NOT FOR SUBMISSION"/>
          <v:path textpathok="t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color w:val="1720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563E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563E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12B4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